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D9B" w:rsidRDefault="0059516C">
      <w:pPr>
        <w:pStyle w:val="a9"/>
        <w:rPr>
          <w:color w:val="000000"/>
        </w:rPr>
      </w:pPr>
      <w:r>
        <w:rPr>
          <w:color w:val="000000"/>
          <w:szCs w:val="28"/>
        </w:rPr>
        <w:t>Федеральное государственное образовательное бюджетное учреждение</w:t>
      </w:r>
    </w:p>
    <w:p w:rsidR="00971D9B" w:rsidRDefault="0059516C">
      <w:pPr>
        <w:pStyle w:val="a9"/>
        <w:rPr>
          <w:color w:val="000000"/>
        </w:rPr>
      </w:pPr>
      <w:r>
        <w:rPr>
          <w:color w:val="000000"/>
          <w:szCs w:val="28"/>
        </w:rPr>
        <w:t>высшего образования</w:t>
      </w:r>
    </w:p>
    <w:p w:rsidR="00971D9B" w:rsidRDefault="0059516C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 xml:space="preserve">«ФИНАНСОВЫЙ УНИВЕРСИТЕТ ПРИ ПРАВИТЕЛЬСТВЕ  </w:t>
      </w:r>
    </w:p>
    <w:p w:rsidR="00971D9B" w:rsidRDefault="0059516C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>РОССИЙСКОЙ ФЕДЕРАЦИИ»</w:t>
      </w:r>
    </w:p>
    <w:p w:rsidR="00971D9B" w:rsidRDefault="0059516C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</w:rPr>
        <w:t>(Финансовый университет)</w:t>
      </w:r>
    </w:p>
    <w:p w:rsidR="00971D9B" w:rsidRDefault="00971D9B">
      <w:pPr>
        <w:ind w:firstLine="397"/>
        <w:jc w:val="center"/>
        <w:rPr>
          <w:b/>
          <w:color w:val="000000"/>
          <w:sz w:val="28"/>
          <w:szCs w:val="28"/>
        </w:rPr>
      </w:pPr>
    </w:p>
    <w:p w:rsidR="00971D9B" w:rsidRDefault="0059516C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:rsidR="00971D9B" w:rsidRDefault="0059516C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Факультета «Высшая школа управления»</w:t>
      </w:r>
    </w:p>
    <w:p w:rsidR="00971D9B" w:rsidRDefault="00971D9B">
      <w:pPr>
        <w:pStyle w:val="4"/>
        <w:rPr>
          <w:color w:val="000000"/>
          <w:szCs w:val="28"/>
        </w:rPr>
      </w:pPr>
    </w:p>
    <w:tbl>
      <w:tblPr>
        <w:tblStyle w:val="af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971D9B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971D9B" w:rsidRDefault="00971D9B">
            <w:pPr>
              <w:jc w:val="center"/>
              <w:rPr>
                <w:sz w:val="28"/>
                <w:szCs w:val="28"/>
              </w:rPr>
            </w:pPr>
          </w:p>
          <w:p w:rsidR="00971D9B" w:rsidRDefault="00971D9B">
            <w:pPr>
              <w:rPr>
                <w:sz w:val="28"/>
                <w:szCs w:val="28"/>
              </w:rPr>
            </w:pPr>
          </w:p>
          <w:p w:rsidR="00971D9B" w:rsidRDefault="00971D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971D9B" w:rsidRDefault="00971D9B">
            <w:pPr>
              <w:ind w:left="569"/>
              <w:rPr>
                <w:sz w:val="28"/>
                <w:szCs w:val="28"/>
              </w:rPr>
            </w:pP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971D9B" w:rsidRDefault="00971D9B">
            <w:pPr>
              <w:ind w:left="569"/>
              <w:rPr>
                <w:sz w:val="28"/>
                <w:szCs w:val="28"/>
              </w:rPr>
            </w:pP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971D9B" w:rsidRDefault="00971D9B">
            <w:pPr>
              <w:ind w:left="569"/>
              <w:rPr>
                <w:sz w:val="28"/>
                <w:szCs w:val="28"/>
              </w:rPr>
            </w:pPr>
          </w:p>
          <w:p w:rsidR="00971D9B" w:rsidRDefault="00B85A2E">
            <w:pPr>
              <w:ind w:left="569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</w:p>
        </w:tc>
      </w:tr>
    </w:tbl>
    <w:p w:rsidR="00971D9B" w:rsidRDefault="00971D9B">
      <w:pPr>
        <w:ind w:firstLine="397"/>
        <w:rPr>
          <w:color w:val="000000"/>
          <w:sz w:val="28"/>
          <w:szCs w:val="28"/>
        </w:rPr>
      </w:pPr>
    </w:p>
    <w:p w:rsidR="00971D9B" w:rsidRDefault="00971D9B">
      <w:pPr>
        <w:ind w:firstLine="397"/>
        <w:jc w:val="center"/>
        <w:rPr>
          <w:color w:val="000000"/>
        </w:rPr>
      </w:pPr>
    </w:p>
    <w:p w:rsidR="00971D9B" w:rsidRDefault="00971D9B">
      <w:pPr>
        <w:jc w:val="center"/>
        <w:rPr>
          <w:sz w:val="28"/>
          <w:szCs w:val="28"/>
        </w:rPr>
      </w:pPr>
    </w:p>
    <w:p w:rsidR="00971D9B" w:rsidRDefault="005951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Шедько Ю.Н., </w:t>
      </w:r>
      <w:proofErr w:type="spellStart"/>
      <w:r>
        <w:rPr>
          <w:sz w:val="28"/>
          <w:szCs w:val="28"/>
        </w:rPr>
        <w:t>Завалько</w:t>
      </w:r>
      <w:proofErr w:type="spellEnd"/>
      <w:r>
        <w:rPr>
          <w:sz w:val="28"/>
          <w:szCs w:val="28"/>
        </w:rPr>
        <w:t xml:space="preserve"> Н.А., Соколова Е.С., </w:t>
      </w:r>
    </w:p>
    <w:p w:rsidR="00971D9B" w:rsidRDefault="00971D9B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971D9B" w:rsidRDefault="005951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СЕКТОРАЛЬНЫМИ МЕТОДАМИ ПОДДЕРЖКИ</w:t>
      </w:r>
    </w:p>
    <w:p w:rsidR="00971D9B" w:rsidRDefault="00971D9B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971D9B" w:rsidRDefault="0059516C">
      <w:pPr>
        <w:spacing w:line="360" w:lineRule="auto"/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</w:t>
      </w:r>
      <w:r>
        <w:rPr>
          <w:b/>
          <w:color w:val="000000"/>
          <w:sz w:val="28"/>
          <w:szCs w:val="28"/>
        </w:rPr>
        <w:t>дисциплины</w:t>
      </w:r>
    </w:p>
    <w:p w:rsidR="00971D9B" w:rsidRDefault="0059516C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971D9B" w:rsidRDefault="0059516C">
      <w:pPr>
        <w:jc w:val="center"/>
        <w:rPr>
          <w:color w:val="000000"/>
        </w:rPr>
      </w:pPr>
      <w:bookmarkStart w:id="0" w:name="_Hlk83891372"/>
      <w:r>
        <w:rPr>
          <w:bCs/>
          <w:color w:val="000000"/>
          <w:sz w:val="28"/>
          <w:szCs w:val="28"/>
        </w:rPr>
        <w:t xml:space="preserve">38.03.04 </w:t>
      </w:r>
      <w:bookmarkEnd w:id="0"/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971D9B" w:rsidRDefault="0059516C">
      <w:pPr>
        <w:ind w:right="-7"/>
        <w:jc w:val="center"/>
        <w:rPr>
          <w:color w:val="000000"/>
        </w:rPr>
      </w:pPr>
      <w:r>
        <w:rPr>
          <w:color w:val="000000"/>
          <w:sz w:val="28"/>
          <w:szCs w:val="28"/>
        </w:rPr>
        <w:t>ОП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971D9B" w:rsidRDefault="00971D9B">
      <w:pPr>
        <w:ind w:right="-7"/>
        <w:jc w:val="center"/>
        <w:rPr>
          <w:color w:val="000000"/>
          <w:sz w:val="28"/>
          <w:szCs w:val="28"/>
        </w:rPr>
      </w:pPr>
    </w:p>
    <w:p w:rsidR="00971D9B" w:rsidRDefault="00971D9B">
      <w:pPr>
        <w:ind w:right="-7"/>
        <w:jc w:val="center"/>
        <w:rPr>
          <w:color w:val="000000"/>
          <w:sz w:val="28"/>
          <w:szCs w:val="28"/>
        </w:rPr>
      </w:pPr>
    </w:p>
    <w:p w:rsidR="00971D9B" w:rsidRDefault="00971D9B">
      <w:pPr>
        <w:ind w:right="-7"/>
        <w:jc w:val="center"/>
        <w:rPr>
          <w:color w:val="000000"/>
          <w:sz w:val="28"/>
          <w:szCs w:val="28"/>
        </w:rPr>
      </w:pPr>
    </w:p>
    <w:p w:rsidR="00971D9B" w:rsidRDefault="00971D9B">
      <w:pPr>
        <w:ind w:right="-7"/>
        <w:jc w:val="center"/>
        <w:rPr>
          <w:i/>
          <w:color w:val="000000"/>
          <w:sz w:val="28"/>
          <w:szCs w:val="28"/>
        </w:rPr>
      </w:pPr>
    </w:p>
    <w:p w:rsidR="00971D9B" w:rsidRDefault="0059516C">
      <w:pPr>
        <w:spacing w:after="80"/>
        <w:jc w:val="center"/>
        <w:rPr>
          <w:i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971D9B" w:rsidRDefault="0059516C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971D9B" w:rsidRDefault="00971D9B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971D9B" w:rsidRDefault="0059516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971D9B" w:rsidRDefault="0059516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971D9B" w:rsidRDefault="0059516C">
      <w:pPr>
        <w:spacing w:after="80"/>
        <w:jc w:val="center"/>
        <w:rPr>
          <w:i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971D9B" w:rsidRDefault="00971D9B">
      <w:pPr>
        <w:rPr>
          <w:color w:val="000000"/>
          <w:sz w:val="28"/>
          <w:szCs w:val="28"/>
          <w:u w:val="single"/>
        </w:rPr>
      </w:pPr>
    </w:p>
    <w:p w:rsidR="00971D9B" w:rsidRDefault="00971D9B">
      <w:pPr>
        <w:rPr>
          <w:color w:val="000000"/>
          <w:sz w:val="28"/>
          <w:szCs w:val="28"/>
          <w:u w:val="single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59516C">
      <w:pPr>
        <w:jc w:val="center"/>
      </w:pPr>
      <w:r>
        <w:rPr>
          <w:b/>
          <w:bCs/>
          <w:color w:val="000000"/>
          <w:sz w:val="28"/>
          <w:szCs w:val="28"/>
        </w:rPr>
        <w:t>Москва –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109925671"/>
        <w:docPartObj>
          <w:docPartGallery w:val="Table of Contents"/>
          <w:docPartUnique/>
        </w:docPartObj>
      </w:sdtPr>
      <w:sdtEndPr/>
      <w:sdtContent>
        <w:p w:rsidR="00971D9B" w:rsidRDefault="0059516C">
          <w:pPr>
            <w:pStyle w:val="afc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Оглавление</w:t>
          </w:r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r>
            <w:fldChar w:fldCharType="begin"/>
          </w:r>
          <w:r>
            <w:rPr>
              <w:b/>
              <w:webHidden/>
              <w:sz w:val="28"/>
              <w:szCs w:val="28"/>
            </w:rPr>
            <w:instrText xml:space="preserve"> TOC \z \o "1-3" \u \h</w:instrText>
          </w:r>
          <w:r>
            <w:rPr>
              <w:b/>
              <w:sz w:val="28"/>
              <w:szCs w:val="28"/>
            </w:rPr>
            <w:fldChar w:fldCharType="separate"/>
          </w:r>
          <w:hyperlink w:anchor="_Toc91488482">
            <w:r w:rsidRPr="00B85A2E">
              <w:rPr>
                <w:webHidden/>
                <w:sz w:val="28"/>
                <w:szCs w:val="28"/>
              </w:rPr>
              <w:t>1. Наименование дисциплины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_Toc91488482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3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3">
            <w:r w:rsidR="0059516C" w:rsidRPr="00B85A2E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_Toc91488483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3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4">
            <w:r w:rsidR="0059516C" w:rsidRPr="00B85A2E"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_Toc91488484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5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5">
            <w:r w:rsidR="0059516C" w:rsidRPr="00B85A2E">
              <w:rPr>
                <w:bCs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_Toc91488485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5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6">
            <w:r w:rsidR="0059516C" w:rsidRPr="00B85A2E"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_Toc91488486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6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0">
            <w:r w:rsidR="0059516C" w:rsidRPr="00B85A2E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_Toc91488490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8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3">
            <w:r w:rsidR="0059516C" w:rsidRPr="00B85A2E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_Toc91488493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11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4">
            <w:r w:rsidR="0059516C" w:rsidRPr="00B85A2E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_Toc91488494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16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5">
            <w:r w:rsidR="0059516C" w:rsidRPr="00B85A2E">
              <w:rPr>
                <w:webHidden/>
                <w:sz w:val="28"/>
                <w:szCs w:val="28"/>
              </w:rPr>
              <w:t>9. П</w:t>
            </w:r>
            <w:r w:rsidR="0059516C" w:rsidRPr="00B85A2E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_Toc91488495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17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6">
            <w:r w:rsidR="0059516C" w:rsidRPr="00B85A2E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_Toc91488496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17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7">
            <w:r w:rsidR="0059516C" w:rsidRPr="00B85A2E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_Toc91488497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18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Pr="00B85A2E" w:rsidRDefault="00414049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8">
            <w:r w:rsidR="0059516C" w:rsidRPr="00B85A2E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9516C" w:rsidRPr="00B85A2E">
              <w:rPr>
                <w:webHidden/>
              </w:rPr>
              <w:fldChar w:fldCharType="begin"/>
            </w:r>
            <w:r w:rsidR="0059516C" w:rsidRPr="00B85A2E">
              <w:rPr>
                <w:webHidden/>
              </w:rPr>
              <w:instrText>PAGEREF _Toc91488498 \h</w:instrText>
            </w:r>
            <w:r w:rsidR="0059516C" w:rsidRPr="00B85A2E">
              <w:rPr>
                <w:webHidden/>
              </w:rPr>
            </w:r>
            <w:r w:rsidR="0059516C" w:rsidRPr="00B85A2E">
              <w:rPr>
                <w:webHidden/>
              </w:rPr>
              <w:fldChar w:fldCharType="separate"/>
            </w:r>
            <w:r w:rsidR="0059516C" w:rsidRPr="00B85A2E">
              <w:rPr>
                <w:sz w:val="28"/>
                <w:szCs w:val="28"/>
              </w:rPr>
              <w:tab/>
              <w:t>18</w:t>
            </w:r>
            <w:r w:rsidR="0059516C" w:rsidRPr="00B85A2E">
              <w:rPr>
                <w:webHidden/>
              </w:rPr>
              <w:fldChar w:fldCharType="end"/>
            </w:r>
          </w:hyperlink>
        </w:p>
        <w:p w:rsidR="00971D9B" w:rsidRDefault="0059516C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971D9B" w:rsidRDefault="0059516C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148848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71D9B" w:rsidRDefault="0059516C">
      <w:pPr>
        <w:rPr>
          <w:sz w:val="28"/>
          <w:szCs w:val="28"/>
        </w:rPr>
      </w:pPr>
      <w:r>
        <w:rPr>
          <w:sz w:val="28"/>
          <w:szCs w:val="28"/>
        </w:rPr>
        <w:t>Управление секторальными методами поддержки</w:t>
      </w:r>
    </w:p>
    <w:p w:rsidR="00971D9B" w:rsidRDefault="00971D9B">
      <w:pPr>
        <w:rPr>
          <w:bCs/>
          <w:sz w:val="28"/>
          <w:szCs w:val="28"/>
        </w:rPr>
      </w:pPr>
    </w:p>
    <w:p w:rsidR="00971D9B" w:rsidRDefault="0059516C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148848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971D9B" w:rsidRDefault="00971D9B"/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p w:rsidR="00971D9B" w:rsidRDefault="00971D9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d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1"/>
        <w:gridCol w:w="2412"/>
        <w:gridCol w:w="3087"/>
        <w:gridCol w:w="3215"/>
      </w:tblGrid>
      <w:tr w:rsidR="00971D9B">
        <w:tc>
          <w:tcPr>
            <w:tcW w:w="148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1D9B">
        <w:trPr>
          <w:trHeight w:val="3587"/>
        </w:trPr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модели и методы принятия управленческих решений, нормативно-правовые документы, ресурсные потенциалы 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формулировать целевые установки, оценивать результативность и эффективность принятых решений на всех уровнях государственного и муниципального управления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оценки эффективности и результативности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осуществлять отбор методов и инструментов для принятия управленческих решений на всех уровнях государственного и муниципального управления. 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Владеет навыками использования современных методов и </w:t>
            </w:r>
            <w:r>
              <w:rPr>
                <w:sz w:val="24"/>
                <w:szCs w:val="24"/>
              </w:rPr>
              <w:lastRenderedPageBreak/>
              <w:t>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218" w:type="dxa"/>
          </w:tcPr>
          <w:p w:rsidR="00971D9B" w:rsidRDefault="0059516C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методы и инструменты используемые для   сбора, обобщения, </w:t>
            </w:r>
            <w:r>
              <w:rPr>
                <w:sz w:val="24"/>
                <w:szCs w:val="24"/>
              </w:rPr>
              <w:lastRenderedPageBreak/>
              <w:t xml:space="preserve">анализа информации, </w:t>
            </w:r>
            <w:proofErr w:type="gramStart"/>
            <w:r>
              <w:rPr>
                <w:sz w:val="24"/>
                <w:szCs w:val="24"/>
              </w:rPr>
              <w:t>необходимой  для</w:t>
            </w:r>
            <w:proofErr w:type="gramEnd"/>
            <w:r>
              <w:rPr>
                <w:sz w:val="24"/>
                <w:szCs w:val="24"/>
              </w:rPr>
              <w:t xml:space="preserve">  решения    аналитических  задач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формулировать целевые установки, проводить оценку ресурсного потенциала для принятия эффективных управленческих решений в системе ГМУ</w:t>
            </w:r>
          </w:p>
        </w:tc>
      </w:tr>
      <w:tr w:rsidR="00971D9B"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оценки возможных последствий введения тех или иных норм регулирования.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последствия и риски от введения норм регулирования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Применяет общие   методы экспертного анализа и оценки проектов нормативных правовых актов.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экспертных оценок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комплексный анализ проектов нормативных правовых актов</w:t>
            </w:r>
          </w:p>
        </w:tc>
      </w:tr>
    </w:tbl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tbl>
      <w:tblPr>
        <w:tblStyle w:val="afd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1"/>
        <w:gridCol w:w="2412"/>
        <w:gridCol w:w="3087"/>
        <w:gridCol w:w="3215"/>
      </w:tblGrid>
      <w:tr w:rsidR="00971D9B">
        <w:tc>
          <w:tcPr>
            <w:tcW w:w="148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1D9B"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и социально-</w:t>
            </w:r>
            <w:proofErr w:type="gramStart"/>
            <w:r>
              <w:rPr>
                <w:sz w:val="24"/>
                <w:szCs w:val="24"/>
              </w:rPr>
              <w:t>экономические  инструменты</w:t>
            </w:r>
            <w:proofErr w:type="gramEnd"/>
            <w:r>
              <w:rPr>
                <w:sz w:val="24"/>
                <w:szCs w:val="24"/>
              </w:rPr>
              <w:t xml:space="preserve"> для управления развитием субъектов Российской Федерации и муниципальных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 анализ социально-экономического развития территорий и муниципальных образований РФ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2.Владеет навыками подготовки решений и </w:t>
            </w:r>
            <w:r>
              <w:rPr>
                <w:sz w:val="24"/>
                <w:szCs w:val="24"/>
              </w:rPr>
              <w:lastRenderedPageBreak/>
              <w:t>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современные методы принятия управленческих </w:t>
            </w:r>
            <w:r>
              <w:rPr>
                <w:sz w:val="24"/>
                <w:szCs w:val="24"/>
              </w:rPr>
              <w:lastRenderedPageBreak/>
              <w:t>решений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принимать управленческие решения на основе анализа социально-экономического развития территорий</w:t>
            </w:r>
          </w:p>
        </w:tc>
      </w:tr>
      <w:tr w:rsidR="00971D9B">
        <w:trPr>
          <w:trHeight w:val="1562"/>
        </w:trPr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управления, ключевые индикаторы социально-экономического роста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Уметь: применять современные методы, направленные на стимулирование экономического роста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социально-экономическим развитием, направленные на своевременное получение качественных результатов Уметь: применять современные стратегические подходы, направленные на стимулирование параметров экономического роста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устойчивое 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направленную на стимулирование и развитие параметров экономического роста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971D9B" w:rsidRDefault="00971D9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9148848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относится к </w:t>
      </w:r>
      <w:r w:rsidR="00414049">
        <w:rPr>
          <w:bCs/>
          <w:sz w:val="28"/>
          <w:szCs w:val="28"/>
        </w:rPr>
        <w:t>циклу профиля (эле</w:t>
      </w:r>
      <w:bookmarkStart w:id="4" w:name="_GoBack"/>
      <w:bookmarkEnd w:id="4"/>
      <w:r w:rsidR="00414049">
        <w:rPr>
          <w:bCs/>
          <w:sz w:val="28"/>
          <w:szCs w:val="28"/>
        </w:rPr>
        <w:t>ктивный)</w:t>
      </w:r>
      <w:r>
        <w:rPr>
          <w:bCs/>
          <w:sz w:val="28"/>
          <w:szCs w:val="28"/>
        </w:rPr>
        <w:t>.</w:t>
      </w: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9148848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71D9B" w:rsidRDefault="0059516C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065"/>
        <w:gridCol w:w="2394"/>
        <w:gridCol w:w="2430"/>
      </w:tblGrid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Вид учебной работы   по дисциплине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6/7</w:t>
            </w:r>
          </w:p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 / 108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58/74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971D9B" w:rsidRDefault="00971D9B">
      <w:pPr>
        <w:jc w:val="both"/>
        <w:rPr>
          <w:b/>
          <w:bCs/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914884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914884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1. </w:t>
      </w:r>
      <w:bookmarkStart w:id="8" w:name="_Hlk120649431"/>
      <w:r>
        <w:rPr>
          <w:bCs/>
          <w:sz w:val="28"/>
          <w:szCs w:val="28"/>
        </w:rPr>
        <w:t>Сущность секторальных методов поддержки экономики</w:t>
      </w:r>
      <w:bookmarkEnd w:id="8"/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Секторы Национальной экономики. Трехсекторная модель экономики. Секторальная поддержка инфраструктуры развития. Зарубежный опыт секторальной поддержки. Целочисленное и нелинейное программирование. Задачи перспективного планирования. Динамическое программирование. Задачи многокритериальной оптимизации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2. Институциональные основы секторальных методов поддержки экономики в России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Институциональная модель секторов экономики. Нормативно-правовые основы управления секторальными методами поддержки в России. Содержание основных нормативно-правовых актов, регулирующих секторальные методы поддержки экономики в России. Секторальные институты инновационного развития. Секторальные федеральные проекты.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3. Секторальные методы поддержки экономики отдельных отраслей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санкции и секторальные меры поддержки: восстановление и развитие промышленности. Секторальные меры поддержки сельского хозяйства. Секторальные меры поддержки сферы услуг. Секторальные методы снижения теневой экономики.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4. Секторальные методы поддержки экономики в территориальном и международном аспектах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Селективное регулирование национальной экономики. Секторальные модели как инструмент управления экономикой региона. Секторальная поддержка малого бизнеса. Секторальные особенности интеграции российской экономики в глобальные цепочки добавленной стоимости.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914884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71D9B" w:rsidRDefault="00971D9B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4"/>
        <w:gridCol w:w="2091"/>
        <w:gridCol w:w="1046"/>
        <w:gridCol w:w="1045"/>
        <w:gridCol w:w="1047"/>
        <w:gridCol w:w="1176"/>
        <w:gridCol w:w="1176"/>
        <w:gridCol w:w="2090"/>
      </w:tblGrid>
      <w:tr w:rsidR="00971D9B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71D9B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lastRenderedPageBreak/>
              <w:t>ы, практические занятия</w:t>
            </w:r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секторальных методов поддержки экономики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анализ конкретных ситуаций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Институциональные основы секторальных методов поддержки экономики в России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методы поддержки экономики отдельных отраслей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по актуальным вопросам секторальных методов поддержки экономики, обсуждение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методы поддержки экономики в территориальном и международном аспектах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анализ конкретных ситуаций, групповая дискуссия. </w:t>
            </w:r>
          </w:p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режиме «круглого стола»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34/18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54/68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bookmarkStart w:id="10" w:name="_Hlk120531782"/>
            <w:bookmarkEnd w:id="10"/>
          </w:p>
        </w:tc>
      </w:tr>
    </w:tbl>
    <w:p w:rsidR="00971D9B" w:rsidRDefault="00971D9B">
      <w:pPr>
        <w:keepNext/>
        <w:ind w:firstLine="709"/>
        <w:jc w:val="both"/>
        <w:rPr>
          <w:sz w:val="28"/>
          <w:szCs w:val="28"/>
        </w:rPr>
      </w:pPr>
    </w:p>
    <w:p w:rsidR="00971D9B" w:rsidRDefault="00971D9B">
      <w:pPr>
        <w:keepNext/>
        <w:ind w:firstLine="709"/>
        <w:jc w:val="both"/>
        <w:rPr>
          <w:sz w:val="28"/>
          <w:szCs w:val="28"/>
        </w:rPr>
      </w:pPr>
    </w:p>
    <w:p w:rsidR="00971D9B" w:rsidRDefault="0059516C">
      <w:pPr>
        <w:pStyle w:val="a9"/>
        <w:ind w:firstLine="709"/>
        <w:jc w:val="both"/>
        <w:outlineLvl w:val="1"/>
        <w:rPr>
          <w:szCs w:val="28"/>
        </w:rPr>
      </w:pPr>
      <w:bookmarkStart w:id="11" w:name="_Toc91488489"/>
      <w:r>
        <w:rPr>
          <w:szCs w:val="28"/>
        </w:rPr>
        <w:t>5.3. Содержание семинаров, практических занятий</w:t>
      </w:r>
      <w:bookmarkEnd w:id="11"/>
      <w:r>
        <w:rPr>
          <w:szCs w:val="28"/>
        </w:rPr>
        <w:t xml:space="preserve"> </w:t>
      </w:r>
    </w:p>
    <w:p w:rsidR="00971D9B" w:rsidRDefault="00971D9B">
      <w:pPr>
        <w:keepNext/>
        <w:ind w:firstLine="709"/>
        <w:jc w:val="both"/>
        <w:rPr>
          <w:strike/>
          <w:color w:val="FF0000"/>
          <w:sz w:val="28"/>
          <w:szCs w:val="28"/>
        </w:rPr>
      </w:pPr>
    </w:p>
    <w:tbl>
      <w:tblPr>
        <w:tblStyle w:val="afd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499"/>
        <w:gridCol w:w="6196"/>
        <w:gridCol w:w="2362"/>
      </w:tblGrid>
      <w:tr w:rsidR="00971D9B">
        <w:tc>
          <w:tcPr>
            <w:tcW w:w="2499" w:type="dxa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</w:p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1.Сущность секторальных методов поддержки экономики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Секторы Национальной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Трехсекторная модель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Первичный </w:t>
            </w:r>
            <w:proofErr w:type="spellStart"/>
            <w:r>
              <w:rPr>
                <w:sz w:val="24"/>
                <w:szCs w:val="24"/>
              </w:rPr>
              <w:t>сeктор</w:t>
            </w:r>
            <w:proofErr w:type="spellEnd"/>
            <w:r>
              <w:rPr>
                <w:sz w:val="24"/>
                <w:szCs w:val="24"/>
              </w:rPr>
              <w:t xml:space="preserve">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Вторичный сектор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Третичный сектор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Секторальная поддержка инфраструктуры развития.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секторальной поддержки.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 (3,9,10, 11), 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Дискуссия, ответы по теме лекции.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2.Институциональные основы секторальных методов поддержки экономики в России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Институциональная модель секторов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институциональных секторов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основы управления секторальными методами поддержки в России.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основных нормативно-правовых актов, регулирующих секторальные методы поддержки экономики в России.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институты инновационного развития.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федеральные проекты.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8.(2,3,4,5,6,10,11),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по анализу НПА в мини-группах.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3.Секторальные методы поддержки экономики отдельных отраслей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санкции и секторальные меры поддержки: восстановление и развитие промышленности.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меры поддержки сельского хозяйства.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меры поддержки сферы услуг.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методы снижения теневой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 (1,2,3,4,5,6,10,11,12),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Дискуссия, ответы по теме лекции. Решение тестов.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4.Секторальные методы поддержки экономики в территориальном и международном аспектах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Секторальное регулирование национальной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модели как инструмент управления экономикой региона.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Секторальная поддержка малого бизнеса. Секторальные особенности интеграции российской экономики в глобальные цепочки добавленной стоимости.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 (1,2,3,4,5,7,8,10, 11, 12),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по актуальным вопросам секторальных методов поддержки экономики, обсуждение на круглом столе</w:t>
            </w:r>
          </w:p>
        </w:tc>
      </w:tr>
    </w:tbl>
    <w:p w:rsidR="00971D9B" w:rsidRDefault="00971D9B">
      <w:pPr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9148849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91488491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307"/>
        <w:gridCol w:w="5665"/>
        <w:gridCol w:w="2223"/>
      </w:tblGrid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1.Сущность секторальных методов поддержки экономики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Правительства по повышению устойчивости экономики и поддержке граждан в условиях санкций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Комплексный подход к координации секторального планирования и управления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Государственная поддержка развития цифровой экономики в России</w:t>
            </w:r>
          </w:p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крупными инфраструктурными проектами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с научной и учебной литературой, собеседования, дискуссии в группах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2.Институциональные основы секторальных </w:t>
            </w:r>
            <w:r>
              <w:rPr>
                <w:sz w:val="24"/>
                <w:szCs w:val="24"/>
              </w:rPr>
              <w:lastRenderedPageBreak/>
              <w:t>методов поддержки экономики в России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Институциональные механизмы государственной поддержки развития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Анализ мероприятий, направленных на поддержку и </w:t>
            </w:r>
            <w:r>
              <w:rPr>
                <w:bCs/>
                <w:sz w:val="24"/>
                <w:szCs w:val="24"/>
              </w:rPr>
              <w:lastRenderedPageBreak/>
              <w:t>развитие малого предпринимательства в России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Правительства по повышению устойчивости экономики и поддержке граждан в условиях санкций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Методики секторального анализа экономики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Определение альтернатив реализации отраслевой (секторальной) политики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Работа с учебной литературой, работа с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3.Секторальные методы поддержки экономики отдельных отраслей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Отраслевая специфика цифровой трансформации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секторальной политики в сфере ЖКХ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секторальной политики в сельском хозяйстве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Секторальные методы поддержки нефтегазовой отрасли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Секторальные методы поддержки транспортной сферы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консультации, творческие задания, рефераты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4.Секторальные методы поддержки экономики в территориальном и международном аспектах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Секторальные методы поддержки развития территориальных социально-экономических систем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Проблемы управления секторальной структурой региональных хозяйственных комплексов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влияния секторальных санкций на развитие инновационной деятельности в Российской Федерации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Государственная поддержка российских транснациональных компаний в условиях секторальных санкций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с учебной литературой, работа с нормативными правовыми актами. Подготовка доклада к семинару в форме презентации и к дискуссии в ходе круглого стола</w:t>
            </w:r>
          </w:p>
        </w:tc>
      </w:tr>
    </w:tbl>
    <w:p w:rsidR="00971D9B" w:rsidRDefault="00971D9B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971D9B" w:rsidRDefault="00971D9B">
      <w:pPr>
        <w:pStyle w:val="a9"/>
        <w:ind w:firstLine="709"/>
        <w:jc w:val="both"/>
        <w:rPr>
          <w:b w:val="0"/>
          <w:szCs w:val="28"/>
        </w:rPr>
      </w:pPr>
    </w:p>
    <w:p w:rsidR="00971D9B" w:rsidRDefault="0059516C">
      <w:pPr>
        <w:pStyle w:val="a9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Примерный перечень тем к контрольной работе</w:t>
      </w:r>
    </w:p>
    <w:p w:rsidR="00971D9B" w:rsidRDefault="00971D9B">
      <w:pPr>
        <w:pStyle w:val="a9"/>
        <w:ind w:firstLine="709"/>
        <w:jc w:val="both"/>
        <w:rPr>
          <w:b w:val="0"/>
          <w:szCs w:val="28"/>
        </w:rPr>
      </w:pP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Опишите инструменты поддержки секторальных программ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Проанализировать ресурсы доноров с другими ресурсами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Проанализировать секторальный бюджет на среднесрочную перспективу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Секторальная стратегия: этапы формирования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Проанализировать документы о секторальной политики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Проанализируете </w:t>
      </w:r>
      <w:proofErr w:type="spellStart"/>
      <w:r>
        <w:rPr>
          <w:b w:val="0"/>
          <w:szCs w:val="28"/>
        </w:rPr>
        <w:t>межстрановое</w:t>
      </w:r>
      <w:proofErr w:type="spellEnd"/>
      <w:r>
        <w:rPr>
          <w:b w:val="0"/>
          <w:szCs w:val="28"/>
        </w:rPr>
        <w:t xml:space="preserve"> секторальное регулирование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Опишите основные меры поддержи </w:t>
      </w:r>
      <w:r>
        <w:rPr>
          <w:b w:val="0"/>
          <w:szCs w:val="28"/>
          <w:lang w:val="en-US"/>
        </w:rPr>
        <w:t>IT</w:t>
      </w:r>
      <w:r>
        <w:rPr>
          <w:b w:val="0"/>
          <w:szCs w:val="28"/>
        </w:rPr>
        <w:t>-отрасли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систему льготного кредитования для различных отраслей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основные меры поддержки в сельском хозяйстве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ключевые проблемы при предоставлении государственной поддержки добывающей 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ключевые проблемы при предоставлении государственной поддержки фармацевтической 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Проанализируйте секторальные методы поддержки транспортной сферы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Проанализируйте секторальные методы поддержки нефтегазовой 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секторальные методы поддержки для МСП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Проанализируйте секторальные методы </w:t>
      </w:r>
      <w:proofErr w:type="gramStart"/>
      <w:r>
        <w:rPr>
          <w:b w:val="0"/>
          <w:szCs w:val="28"/>
        </w:rPr>
        <w:t>поддержки</w:t>
      </w:r>
      <w:proofErr w:type="gramEnd"/>
      <w:r>
        <w:rPr>
          <w:b w:val="0"/>
          <w:szCs w:val="28"/>
        </w:rPr>
        <w:t xml:space="preserve"> предоставляемые Банком России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Проанализируйте секторальные методы </w:t>
      </w:r>
      <w:proofErr w:type="gramStart"/>
      <w:r>
        <w:rPr>
          <w:b w:val="0"/>
          <w:szCs w:val="28"/>
        </w:rPr>
        <w:t>поддержки</w:t>
      </w:r>
      <w:proofErr w:type="gramEnd"/>
      <w:r>
        <w:rPr>
          <w:b w:val="0"/>
          <w:szCs w:val="28"/>
        </w:rPr>
        <w:t xml:space="preserve"> предоставляемые ФНС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На основе анализа фонда развития МСП структурируйте государственные меры поддержки указав возможные последствия от использования соответствующих мер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На основе анализа фонда развития промышленности структурируйте государственные меры поддержки указав возможные последствия от использования соответствующих мер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Проанализируйте региональные меры поддержки секторов экономике на примере субъекта РФ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региональные меры поддержки секторов экономике на примере Федеральных округов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секторальные меры поддержки для сферы услуг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секторальные меры поддержки для системы ЖКХ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Проанализируйте </w:t>
      </w:r>
      <w:r>
        <w:rPr>
          <w:b w:val="0"/>
          <w:bCs/>
          <w:color w:val="444444"/>
          <w:szCs w:val="28"/>
          <w:shd w:val="clear" w:color="auto" w:fill="FFFFFF"/>
        </w:rPr>
        <w:t>Парижскую декларацию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bCs/>
          <w:color w:val="444444"/>
          <w:szCs w:val="28"/>
          <w:shd w:val="clear" w:color="auto" w:fill="FFFFFF"/>
        </w:rPr>
        <w:t>Проанализируйте секторальный подход к развитию Арктики</w:t>
      </w:r>
    </w:p>
    <w:p w:rsidR="00971D9B" w:rsidRDefault="00971D9B">
      <w:pPr>
        <w:pStyle w:val="a9"/>
        <w:jc w:val="both"/>
        <w:rPr>
          <w:b w:val="0"/>
          <w:bCs/>
          <w:color w:val="444444"/>
          <w:szCs w:val="28"/>
          <w:shd w:val="clear" w:color="auto" w:fill="FFFFFF"/>
        </w:rPr>
      </w:pPr>
    </w:p>
    <w:p w:rsidR="00971D9B" w:rsidRDefault="00971D9B">
      <w:pPr>
        <w:pStyle w:val="a9"/>
        <w:ind w:firstLine="709"/>
        <w:jc w:val="both"/>
        <w:rPr>
          <w:bCs/>
          <w:szCs w:val="28"/>
        </w:rPr>
      </w:pPr>
    </w:p>
    <w:p w:rsidR="00971D9B" w:rsidRDefault="00971D9B">
      <w:pPr>
        <w:pStyle w:val="a9"/>
        <w:ind w:firstLine="709"/>
        <w:jc w:val="both"/>
        <w:rPr>
          <w:bCs/>
          <w:szCs w:val="28"/>
        </w:rPr>
      </w:pPr>
    </w:p>
    <w:p w:rsidR="00971D9B" w:rsidRDefault="00971D9B">
      <w:pPr>
        <w:pStyle w:val="a9"/>
        <w:ind w:firstLine="709"/>
        <w:jc w:val="both"/>
        <w:rPr>
          <w:bCs/>
          <w:szCs w:val="28"/>
        </w:rPr>
      </w:pPr>
    </w:p>
    <w:p w:rsidR="00971D9B" w:rsidRDefault="0059516C">
      <w:pPr>
        <w:pStyle w:val="a9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Примеры заданий контрольных работ</w:t>
      </w:r>
    </w:p>
    <w:p w:rsidR="00971D9B" w:rsidRDefault="00971D9B">
      <w:pPr>
        <w:pStyle w:val="a9"/>
        <w:ind w:firstLine="709"/>
        <w:jc w:val="both"/>
        <w:rPr>
          <w:b w:val="0"/>
          <w:szCs w:val="28"/>
        </w:rPr>
      </w:pP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>Задание. Секторальный подход предполагает использование национальных систем, где это только возможно, и укрепление этих систем при их при использовании, при этом должна быть разработанная правительством четкая и полная стратегия развития.</w:t>
      </w: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>Требуется. Разработать ключевые элементы секторальной стратегии развития и провести их оценку.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pStyle w:val="a9"/>
        <w:jc w:val="both"/>
        <w:rPr>
          <w:b w:val="0"/>
          <w:bCs/>
          <w:color w:val="444444"/>
          <w:szCs w:val="28"/>
          <w:shd w:val="clear" w:color="auto" w:fill="FFFFFF"/>
        </w:rPr>
      </w:pPr>
      <w:r>
        <w:rPr>
          <w:b w:val="0"/>
          <w:szCs w:val="28"/>
        </w:rPr>
        <w:t xml:space="preserve">Задание. </w:t>
      </w:r>
      <w:proofErr w:type="gramStart"/>
      <w:r>
        <w:rPr>
          <w:b w:val="0"/>
          <w:szCs w:val="28"/>
        </w:rPr>
        <w:t xml:space="preserve">Проанализировать  </w:t>
      </w:r>
      <w:r>
        <w:rPr>
          <w:b w:val="0"/>
          <w:bCs/>
          <w:color w:val="444444"/>
          <w:szCs w:val="28"/>
          <w:shd w:val="clear" w:color="auto" w:fill="FFFFFF"/>
        </w:rPr>
        <w:t>Парижскую</w:t>
      </w:r>
      <w:proofErr w:type="gramEnd"/>
      <w:r>
        <w:rPr>
          <w:b w:val="0"/>
          <w:bCs/>
          <w:color w:val="444444"/>
          <w:szCs w:val="28"/>
          <w:shd w:val="clear" w:color="auto" w:fill="FFFFFF"/>
        </w:rPr>
        <w:t xml:space="preserve"> декларацию</w:t>
      </w: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 xml:space="preserve">Требуется. Дать развернутое пояснения к Заявлению 1 “Развитие потенциала является ответственность стран-партнеров, при этом доноры должны оказывать поддержку”. (п. 22 Парижской декларации) и к Заявлению 2 “ Страны-партнеры обязуются интегрировать специальные задачи по развитию потенциала в национальные стратегии развития и </w:t>
      </w:r>
      <w:proofErr w:type="gramStart"/>
      <w:r>
        <w:rPr>
          <w:b w:val="0"/>
          <w:szCs w:val="28"/>
        </w:rPr>
        <w:t>Приступить</w:t>
      </w:r>
      <w:proofErr w:type="gramEnd"/>
      <w:r>
        <w:rPr>
          <w:b w:val="0"/>
          <w:szCs w:val="28"/>
        </w:rPr>
        <w:t xml:space="preserve"> к их реализации в рамках национальных стратегий по развитию потенциала ……” (п. 23 Парижской декларации). Подтвердить данные пояснения оценкой эффективности.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pStyle w:val="a9"/>
        <w:jc w:val="both"/>
        <w:rPr>
          <w:bCs/>
          <w:szCs w:val="28"/>
        </w:rPr>
      </w:pPr>
      <w:r>
        <w:rPr>
          <w:bCs/>
          <w:szCs w:val="28"/>
        </w:rPr>
        <w:t>Примеры практико-ориентированных ситуаций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Задание 1. Проанализируйте основные направления экономической политики Ниже-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городской области: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>управление собственностью субъекта РФ;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управление финансами;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промышленная политика;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бюджетно-налоговая политика;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тарифная политика;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инвестиционная политика.</w:t>
      </w: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>Требуется сформировать секторальную стратегию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bCs/>
          <w:sz w:val="28"/>
          <w:szCs w:val="28"/>
        </w:rPr>
        <w:t xml:space="preserve">Задание 2. </w:t>
      </w:r>
      <w:r>
        <w:rPr>
          <w:bCs/>
          <w:color w:val="1A1A1A"/>
          <w:sz w:val="28"/>
          <w:szCs w:val="28"/>
        </w:rPr>
        <w:t>Пр</w:t>
      </w:r>
      <w:r>
        <w:rPr>
          <w:color w:val="1A1A1A"/>
          <w:sz w:val="28"/>
          <w:szCs w:val="28"/>
        </w:rPr>
        <w:t>и прогнозировании исполнения доходов бюджета субъекта РФ планируется установить дополнительные задания по увеличению поступлений в следующем году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1) направление средств от приватизации имущества, находящегося в собственности субъекта РФ, на погашение долговых обязательств субъекта РФ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(+100 млн. руб.).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2) организация взаимодействия в целях привлечения к декларированию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доходов физических лиц и получения информации о физических лицах, уклоняющихся от декларирования доходов, полученных от сдачи имущества в аренду,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от продажи имущества, а также других доходов, подлежащих налогообложению (+25 млн. руб.).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Требуется: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1 Сравните два указанных мероприятия и оцените их преимущества и недостатки.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2 Являются ли данные мероприятия эффективными? Дайте развернутый ответ.</w:t>
      </w:r>
    </w:p>
    <w:p w:rsidR="00971D9B" w:rsidRDefault="00971D9B">
      <w:pPr>
        <w:widowControl/>
        <w:shd w:val="clear" w:color="auto" w:fill="FFFFFF"/>
        <w:rPr>
          <w:color w:val="1A1A1A"/>
          <w:sz w:val="28"/>
          <w:szCs w:val="28"/>
        </w:rPr>
      </w:pPr>
    </w:p>
    <w:p w:rsidR="00971D9B" w:rsidRDefault="0059516C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bookmarkStart w:id="14" w:name="_Toc9148849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sz w:val="28"/>
          <w:szCs w:val="28"/>
        </w:rPr>
        <w:t xml:space="preserve"> </w:t>
      </w:r>
    </w:p>
    <w:p w:rsidR="00971D9B" w:rsidRDefault="00971D9B">
      <w:pPr>
        <w:rPr>
          <w:sz w:val="28"/>
          <w:szCs w:val="28"/>
        </w:rPr>
      </w:pPr>
    </w:p>
    <w:p w:rsidR="00971D9B" w:rsidRDefault="0059516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к зачету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Комплексный подход к координации секторального планирования и управления</w:t>
      </w:r>
      <w:r>
        <w:rPr>
          <w:sz w:val="28"/>
          <w:szCs w:val="28"/>
        </w:rPr>
        <w:t xml:space="preserve"> 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Секторы Национальной экономики.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Трехсекторная модель экономики.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Методики секторального анализа экономики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секторального </w:t>
      </w:r>
      <w:proofErr w:type="spellStart"/>
      <w:r>
        <w:rPr>
          <w:sz w:val="28"/>
          <w:szCs w:val="28"/>
        </w:rPr>
        <w:t>бюбжета</w:t>
      </w:r>
      <w:proofErr w:type="spellEnd"/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Секторальная поддержка инфраструктуры развития.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секторальной поддержки.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крупными инфраструктурными проектами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Нормативно-правовые основы управления секторальными методами поддержки в России.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Содержание основных нормативно-правовых актов, регулирующих секторальные методы поддержки экономики в России.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институты инновационного развития.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федеральные проекты.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Определение альтернатив реализации отраслевой (секторальной) политики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Институциональные механизмы государственной поддержки развития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санкции 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методы поддержки развития территориальных социально-экономических систем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Секторальная стратегия и секторальная политика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меры поддержки сельского хозяйства.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меры поддержки сферы услуг.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методы снижения теневой экономики.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Селективное регулирование национальной экономики.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модели как инструмент управления экономикой региона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Секторальная поддержка малого бизнеса.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особенности интеграции российской экономики в глобальные цепочки добавленной стоимости.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Парижская декларация</w:t>
      </w:r>
    </w:p>
    <w:p w:rsidR="00971D9B" w:rsidRDefault="0059516C">
      <w:pPr>
        <w:pStyle w:val="a9"/>
        <w:numPr>
          <w:ilvl w:val="0"/>
          <w:numId w:val="3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Формирование секторальной стратегии 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управления секторальной структурой региональных хозяйственных комплексов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Секторальное регулирование: международное взаимодействие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Задачи перспективного планирования.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Задачи многокритериальной оптимизации.</w:t>
      </w:r>
    </w:p>
    <w:p w:rsidR="00971D9B" w:rsidRDefault="00971D9B">
      <w:pPr>
        <w:ind w:firstLine="709"/>
        <w:jc w:val="both"/>
        <w:rPr>
          <w:bCs/>
          <w:sz w:val="28"/>
          <w:szCs w:val="28"/>
        </w:rPr>
      </w:pPr>
    </w:p>
    <w:p w:rsidR="00971D9B" w:rsidRDefault="0059516C">
      <w:pPr>
        <w:pStyle w:val="a9"/>
        <w:ind w:left="284"/>
        <w:jc w:val="both"/>
        <w:rPr>
          <w:bCs/>
          <w:szCs w:val="28"/>
        </w:rPr>
      </w:pPr>
      <w:r>
        <w:rPr>
          <w:bCs/>
          <w:szCs w:val="28"/>
        </w:rPr>
        <w:t>Примеры тестовых заданий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1.Финансовая поддержка, выделяемая регионам на определенные цели на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условиях долевого </w:t>
      </w:r>
      <w:proofErr w:type="spellStart"/>
      <w:r>
        <w:rPr>
          <w:color w:val="1A1A1A"/>
          <w:sz w:val="28"/>
          <w:szCs w:val="28"/>
        </w:rPr>
        <w:t>софинансирования</w:t>
      </w:r>
      <w:proofErr w:type="spellEnd"/>
      <w:r>
        <w:rPr>
          <w:color w:val="1A1A1A"/>
          <w:sz w:val="28"/>
          <w:szCs w:val="28"/>
        </w:rPr>
        <w:t>: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дотации;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субвенции;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субсидии;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бюджетные кредиты.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3. Финансовая поддержка, предоставляемая регионам на безвозмездной и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безвозвратной основе на финансирование отдельных целевых расходов: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дотации;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субвенции;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субсидии;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бюджетные кредиты.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4. Федеральный фонд финансовой поддержки субъектов РФ предназначен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содействия развитию малого бизнеса в регионе;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поддержки малообеспеченных граждан региона;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выравнивания уровней бюджетной обеспеченности регионов;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управления средствами государственного социального страхования РФ.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>5. Для выравнивания уровней бюджетной обеспеченности регионов пред-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назначен федеральный фонд: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регионального развития;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содействия реформирования ЖКХ;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в) </w:t>
      </w:r>
      <w:proofErr w:type="spellStart"/>
      <w:r>
        <w:rPr>
          <w:color w:val="1A1A1A"/>
          <w:sz w:val="28"/>
          <w:szCs w:val="28"/>
        </w:rPr>
        <w:t>софинансирования</w:t>
      </w:r>
      <w:proofErr w:type="spellEnd"/>
      <w:r>
        <w:rPr>
          <w:color w:val="1A1A1A"/>
          <w:sz w:val="28"/>
          <w:szCs w:val="28"/>
        </w:rPr>
        <w:t xml:space="preserve"> социальных расходов;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  <w:shd w:val="clear" w:color="auto" w:fill="FFFFFF"/>
        </w:rPr>
      </w:pPr>
      <w:r>
        <w:rPr>
          <w:color w:val="1A1A1A"/>
          <w:sz w:val="28"/>
          <w:szCs w:val="28"/>
          <w:shd w:val="clear" w:color="auto" w:fill="FFFFFF"/>
        </w:rPr>
        <w:t>г) финансовой поддержки субъектов РФ.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6.Совокупность объективных экономических, социальных и природ-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но-географических свойств территории, имеющих высокую значимость для при-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влечения инвестиций в основной капитал региона – это...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инвестиционная активность региона;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инвестиционная привлекательность региона;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инвестиционный потенциал региона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инвестиционная политика региона.</w:t>
      </w:r>
    </w:p>
    <w:p w:rsidR="00971D9B" w:rsidRDefault="00971D9B">
      <w:pPr>
        <w:widowControl/>
        <w:shd w:val="clear" w:color="auto" w:fill="FFFFFF"/>
        <w:rPr>
          <w:color w:val="1A1A1A"/>
          <w:sz w:val="28"/>
          <w:szCs w:val="28"/>
        </w:rPr>
      </w:pPr>
    </w:p>
    <w:tbl>
      <w:tblPr>
        <w:tblStyle w:val="afd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343"/>
        <w:gridCol w:w="3052"/>
        <w:gridCol w:w="2794"/>
        <w:gridCol w:w="3010"/>
      </w:tblGrid>
      <w:tr w:rsidR="00971D9B">
        <w:tc>
          <w:tcPr>
            <w:tcW w:w="234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794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71D9B">
        <w:tc>
          <w:tcPr>
            <w:tcW w:w="11198" w:type="dxa"/>
            <w:gridSpan w:val="4"/>
          </w:tcPr>
          <w:p w:rsidR="00971D9B" w:rsidRDefault="005951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Для 2021 года приема</w:t>
            </w:r>
          </w:p>
        </w:tc>
      </w:tr>
      <w:tr w:rsidR="00971D9B"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 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(ПКП-1)</w:t>
            </w: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модели и методы принятия управленческих решений, нормативно-правовые документы, ресурсные потенциалы </w:t>
            </w:r>
          </w:p>
          <w:p w:rsidR="00971D9B" w:rsidRDefault="0059516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формулировать целевые установки, оценивать результативность и эффективность принятых решений на всех уровнях государственного и муниципального управления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Провести анализ мер государственной поддержки фармацевтической отрасли.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sz w:val="24"/>
                <w:szCs w:val="24"/>
              </w:rPr>
              <w:t xml:space="preserve"> Описать меры поддержки, сформировать дерево решений по применению соответствующих мер поддержки. </w:t>
            </w: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</w:t>
            </w:r>
            <w:r>
              <w:rPr>
                <w:sz w:val="24"/>
                <w:szCs w:val="24"/>
              </w:rPr>
              <w:lastRenderedPageBreak/>
              <w:t xml:space="preserve">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методы оценки эффективности и результативности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</w:t>
            </w:r>
            <w:r>
              <w:rPr>
                <w:sz w:val="24"/>
                <w:szCs w:val="24"/>
              </w:rPr>
              <w:lastRenderedPageBreak/>
              <w:t>деятель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осуществлять отбор методов и инструментов для принятия управленческих решений на всех уровнях государственного и муниципального управления. 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  <w:r>
              <w:rPr>
                <w:sz w:val="24"/>
                <w:szCs w:val="24"/>
              </w:rPr>
              <w:t xml:space="preserve"> Описать эффективные меры государственной поддержки нефтегазовой отрасли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sz w:val="24"/>
                <w:szCs w:val="24"/>
              </w:rPr>
              <w:t xml:space="preserve"> определить по каждой мере поддержки индикатор эффективности, сформулировать рекомендации по применению соответствующих мер</w:t>
            </w: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и инструменты используемые для   сбора, обобщения, анализа информации, </w:t>
            </w:r>
            <w:proofErr w:type="gramStart"/>
            <w:r>
              <w:rPr>
                <w:sz w:val="24"/>
                <w:szCs w:val="24"/>
              </w:rPr>
              <w:t>необходимой  для</w:t>
            </w:r>
            <w:proofErr w:type="gramEnd"/>
            <w:r>
              <w:rPr>
                <w:sz w:val="24"/>
                <w:szCs w:val="24"/>
              </w:rPr>
              <w:t xml:space="preserve">  решения    аналитических  задач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формулировать целевые установки, проводить оценку ресурсного потенциала для принятия эффективных управленческих решений в системе ГМУ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Задание:</w:t>
            </w:r>
            <w:r>
              <w:rPr>
                <w:sz w:val="24"/>
                <w:szCs w:val="24"/>
              </w:rPr>
              <w:t xml:space="preserve"> проанализировать сайты фонда развития промышленности и </w:t>
            </w:r>
            <w:proofErr w:type="spellStart"/>
            <w:r>
              <w:rPr>
                <w:sz w:val="24"/>
                <w:szCs w:val="24"/>
              </w:rPr>
              <w:t>минпромторга</w:t>
            </w:r>
            <w:proofErr w:type="spellEnd"/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Требуется </w:t>
            </w:r>
            <w:r>
              <w:rPr>
                <w:sz w:val="24"/>
                <w:szCs w:val="24"/>
              </w:rPr>
              <w:t>Сформировать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 анализа сайтов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смежные меры государственной поддержки, с указанием приоритетности их использования</w:t>
            </w:r>
          </w:p>
        </w:tc>
      </w:tr>
      <w:tr w:rsidR="00971D9B"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 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(ОПК-4)</w:t>
            </w: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оценки возможных последствий введения тех или иных норм регулирования.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последствия и риски от введения норм регулирования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Проанализировать нормативно-правовые документы секторальных методов поддержки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</w:t>
            </w:r>
            <w:r>
              <w:rPr>
                <w:sz w:val="24"/>
                <w:szCs w:val="24"/>
              </w:rPr>
              <w:t>. выстроить приоритетные направления секторальных методов со ссылкой на соответствующие нормативно-правовые документы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Применяет общие   методы экспертного анализа и оценки проектов нормативных правовых актов.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экспертных оценок</w:t>
            </w:r>
          </w:p>
          <w:p w:rsidR="00971D9B" w:rsidRDefault="0059516C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комплексный анализ проектов нормативных правовых актов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Проанализировать меры государственной поддержки предоставляемых </w:t>
            </w:r>
            <w:proofErr w:type="spellStart"/>
            <w:r>
              <w:rPr>
                <w:sz w:val="24"/>
                <w:szCs w:val="24"/>
              </w:rPr>
              <w:t>минпромторгом</w:t>
            </w:r>
            <w:proofErr w:type="spellEnd"/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sz w:val="24"/>
                <w:szCs w:val="24"/>
              </w:rPr>
              <w:t xml:space="preserve"> На основе </w:t>
            </w:r>
            <w:r>
              <w:rPr>
                <w:sz w:val="24"/>
                <w:szCs w:val="24"/>
              </w:rPr>
              <w:lastRenderedPageBreak/>
              <w:t>метода экспертных оценок присвоить ранги мерам поддержки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11198" w:type="dxa"/>
            <w:gridSpan w:val="4"/>
          </w:tcPr>
          <w:p w:rsidR="00971D9B" w:rsidRDefault="005951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 2022 года приема</w:t>
            </w:r>
          </w:p>
        </w:tc>
      </w:tr>
      <w:tr w:rsidR="00971D9B">
        <w:trPr>
          <w:trHeight w:val="3960"/>
        </w:trPr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 (ПКП-4)</w:t>
            </w: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инструменты для управления развитием субъектов Российской Федерации и муниципальных образований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и социально-</w:t>
            </w:r>
            <w:proofErr w:type="gramStart"/>
            <w:r>
              <w:rPr>
                <w:sz w:val="24"/>
                <w:szCs w:val="24"/>
              </w:rPr>
              <w:t>экономические  инструменты</w:t>
            </w:r>
            <w:proofErr w:type="gramEnd"/>
            <w:r>
              <w:rPr>
                <w:sz w:val="24"/>
                <w:szCs w:val="24"/>
              </w:rPr>
              <w:t xml:space="preserve"> для управления развитием субъектов Российской Федерации и муниципальных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 анализ социально-экономического развития территорий и муниципальных образований РФ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Задание. </w:t>
            </w:r>
            <w:r>
              <w:rPr>
                <w:sz w:val="24"/>
                <w:szCs w:val="24"/>
              </w:rPr>
              <w:t>Проанализировать инструменты управления развитием Московской области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Применить метод скользящих средних для построения тренда развития субъекта РФ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принятия управленческих решений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принимать управленческие решения на основе анализа социально-экономического развития территорий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Задача. </w:t>
            </w:r>
            <w:r>
              <w:rPr>
                <w:sz w:val="24"/>
                <w:szCs w:val="24"/>
              </w:rPr>
              <w:t>Проанализировать статистические параметры социально-экономического развития Рязанской области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Требуется. </w:t>
            </w:r>
            <w:r>
              <w:rPr>
                <w:sz w:val="24"/>
                <w:szCs w:val="24"/>
              </w:rPr>
              <w:t>Сформировать дерево решений для управления развитием субъекта</w:t>
            </w:r>
          </w:p>
        </w:tc>
      </w:tr>
      <w:tr w:rsidR="00971D9B"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(ПКП-5)</w:t>
            </w: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современные методы управления, ключевые индикаторы социально-экономического роста 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методы, направленные на стимулирование экономического роста 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Задание. </w:t>
            </w:r>
            <w:r>
              <w:rPr>
                <w:color w:val="1A1A1A"/>
                <w:sz w:val="24"/>
                <w:szCs w:val="24"/>
              </w:rPr>
              <w:t>Проанализируйте основные направления экономической политики Астраханской области: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управление собственностью субъекта РФ;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управление финансами;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промышленная политика;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бюджетно-налоговая политика;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тарифная политика;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инвестиционная политика.</w:t>
            </w:r>
          </w:p>
          <w:p w:rsidR="00971D9B" w:rsidRDefault="0059516C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Требуется. сформировать секторальную стратегию, направленную на стимулирование экономического роста</w:t>
            </w:r>
          </w:p>
          <w:p w:rsidR="00971D9B" w:rsidRDefault="00971D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Выделяет приоритетные направления устойчивого </w:t>
            </w:r>
            <w:r>
              <w:rPr>
                <w:sz w:val="24"/>
                <w:szCs w:val="24"/>
              </w:rPr>
              <w:lastRenderedPageBreak/>
              <w:t>развития социально-экономической системы, стимулирования экономического развития и роста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методы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социально-</w:t>
            </w:r>
            <w:r>
              <w:rPr>
                <w:sz w:val="24"/>
                <w:szCs w:val="24"/>
              </w:rPr>
              <w:lastRenderedPageBreak/>
              <w:t>экономическим развитием, направленные на своевременное получение качественных результатов Уметь: применять современные стратегические подхода, направленные на стимулирование параметров экономического роста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Задание. </w:t>
            </w:r>
            <w:r>
              <w:rPr>
                <w:sz w:val="24"/>
                <w:szCs w:val="24"/>
              </w:rPr>
              <w:t xml:space="preserve">Проведите оценку документов </w:t>
            </w:r>
            <w:r>
              <w:rPr>
                <w:sz w:val="24"/>
                <w:szCs w:val="24"/>
              </w:rPr>
              <w:lastRenderedPageBreak/>
              <w:t>стратегического планирования Ленинградской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области.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Требуется. </w:t>
            </w:r>
            <w:r>
              <w:rPr>
                <w:sz w:val="24"/>
                <w:szCs w:val="24"/>
              </w:rPr>
              <w:t>Сформируйте и оцените дополнительные методы стимулирования экономических параметров территории</w:t>
            </w: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устойчивое 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Задание. </w:t>
            </w:r>
            <w:r>
              <w:rPr>
                <w:color w:val="1A1A1A"/>
                <w:sz w:val="24"/>
                <w:szCs w:val="24"/>
              </w:rPr>
              <w:t>Проанализируйте основные направления социальной политики Новосибирской области.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Требуется. </w:t>
            </w:r>
            <w:r>
              <w:rPr>
                <w:bCs/>
                <w:sz w:val="24"/>
                <w:szCs w:val="24"/>
              </w:rPr>
              <w:t>разработать стратегию, направленную на развитие экономического роста на основе изменений социальных параметров</w:t>
            </w:r>
          </w:p>
        </w:tc>
      </w:tr>
    </w:tbl>
    <w:p w:rsidR="00971D9B" w:rsidRDefault="00971D9B">
      <w:pPr>
        <w:ind w:firstLine="709"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91488494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акты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Конституция Российской Федерации" (принята всенародным голосованием 12.12.1993) // Консультант Плюс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Бюджетный кодекс Российской Федерации от 31.07.1998 №145-ФЗ // Консультант Плюс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 обеспечении доступа к информации о деятельности государственных органов и органов местного самоуправления: Федеральный закон от 09.02.2009 № 8-ФЗ // Консультант Плюс.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 защите прав юридических лиц и индивидуальных предпринимателей при осуществлении государственного контроля (надзора) и муниципального контроля: Федеральный закон от 26.12.2008 №294-ФЗ// Консультант Плюс.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Указы Президента Российской Федерации 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 мерах по обеспечению ускоренного развития отрасли информационных технологий в Российской Федерации</w:t>
      </w:r>
      <w:r>
        <w:rPr>
          <w:sz w:val="28"/>
          <w:szCs w:val="28"/>
        </w:rPr>
        <w:t>: Указ Президента Российской Федерации от 02.03.2022 № 83 // Консультант Плюс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структуры федеральных органов исполнительной власти: Указ Президента Российской Федерации от 15.05.2018 № 215 // Консультант Плюс.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Правительства РФ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>
        <w:rPr>
          <w:rStyle w:val="af5"/>
          <w:i w:val="0"/>
          <w:iCs w:val="0"/>
          <w:color w:val="333333"/>
          <w:sz w:val="28"/>
          <w:szCs w:val="28"/>
          <w:shd w:val="clear" w:color="auto" w:fill="FFFFFF"/>
        </w:rPr>
        <w:t>Постановление Правительства от 03.03 2022 № 280</w:t>
      </w:r>
      <w:r>
        <w:rPr>
          <w:i/>
          <w:iCs/>
          <w:sz w:val="28"/>
          <w:szCs w:val="28"/>
        </w:rPr>
        <w:t xml:space="preserve">// Консультант Плюс. 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>
        <w:rPr>
          <w:rStyle w:val="af5"/>
          <w:i w:val="0"/>
          <w:iCs w:val="0"/>
          <w:color w:val="333333"/>
          <w:sz w:val="28"/>
          <w:szCs w:val="28"/>
          <w:shd w:val="clear" w:color="auto" w:fill="FFFFFF"/>
        </w:rPr>
        <w:t>Постановление Правительства от 4 марта 2022 года № 287</w:t>
      </w:r>
      <w:r>
        <w:rPr>
          <w:i/>
          <w:iCs/>
          <w:sz w:val="28"/>
          <w:szCs w:val="28"/>
        </w:rPr>
        <w:t xml:space="preserve">// Консультант Плюс. 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Style w:val="af5"/>
          <w:i w:val="0"/>
          <w:iCs w:val="0"/>
          <w:color w:val="333333"/>
          <w:sz w:val="28"/>
          <w:szCs w:val="28"/>
          <w:shd w:val="clear" w:color="auto" w:fill="FFFFFF"/>
        </w:rPr>
        <w:lastRenderedPageBreak/>
        <w:t>Постановление Правительства от 6 марта 2022 года № 297</w:t>
      </w:r>
      <w:r>
        <w:rPr>
          <w:i/>
          <w:iCs/>
          <w:sz w:val="28"/>
          <w:szCs w:val="28"/>
        </w:rPr>
        <w:t>// Консультант Плюс</w:t>
      </w:r>
      <w:r>
        <w:rPr>
          <w:sz w:val="28"/>
          <w:szCs w:val="28"/>
        </w:rPr>
        <w:t xml:space="preserve">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Основная: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Государственное и муниципальное управление: учебник и практикум для вузов / Л.В. </w:t>
      </w:r>
      <w:proofErr w:type="spellStart"/>
      <w:r>
        <w:rPr>
          <w:sz w:val="28"/>
          <w:szCs w:val="28"/>
        </w:rPr>
        <w:t>Адамская</w:t>
      </w:r>
      <w:proofErr w:type="spellEnd"/>
      <w:r>
        <w:rPr>
          <w:sz w:val="28"/>
          <w:szCs w:val="28"/>
        </w:rPr>
        <w:t xml:space="preserve">, Р.Е. </w:t>
      </w:r>
      <w:proofErr w:type="spellStart"/>
      <w:r>
        <w:rPr>
          <w:sz w:val="28"/>
          <w:szCs w:val="28"/>
        </w:rPr>
        <w:t>Артюхин</w:t>
      </w:r>
      <w:proofErr w:type="spellEnd"/>
      <w:r>
        <w:rPr>
          <w:sz w:val="28"/>
          <w:szCs w:val="28"/>
        </w:rPr>
        <w:t xml:space="preserve">, Н.А. </w:t>
      </w:r>
      <w:proofErr w:type="spellStart"/>
      <w:r>
        <w:rPr>
          <w:sz w:val="28"/>
          <w:szCs w:val="28"/>
        </w:rPr>
        <w:t>Барменкова</w:t>
      </w:r>
      <w:proofErr w:type="spellEnd"/>
      <w:r>
        <w:rPr>
          <w:sz w:val="28"/>
          <w:szCs w:val="28"/>
        </w:rPr>
        <w:t xml:space="preserve"> [и др.]; под. ред. С.Е. Прокофьева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Speechki</w:t>
      </w:r>
      <w:proofErr w:type="spellEnd"/>
      <w:r>
        <w:rPr>
          <w:sz w:val="28"/>
          <w:szCs w:val="28"/>
        </w:rPr>
        <w:t xml:space="preserve">. Сервис автоматического создания </w:t>
      </w:r>
      <w:proofErr w:type="spellStart"/>
      <w:r>
        <w:rPr>
          <w:sz w:val="28"/>
          <w:szCs w:val="28"/>
        </w:rPr>
        <w:t>аудиоверсий</w:t>
      </w:r>
      <w:proofErr w:type="spellEnd"/>
      <w:r>
        <w:rPr>
          <w:sz w:val="28"/>
          <w:szCs w:val="28"/>
        </w:rPr>
        <w:t xml:space="preserve"> статей. — 2-е изд.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https://urait.ru/bcode/519311 (дата обращения: 09.01.2023).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71D9B" w:rsidRDefault="0059516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Казакова, Н. А. Современные парадигмы и методы анализа и контроля бюджетной </w:t>
      </w:r>
      <w:proofErr w:type="gramStart"/>
      <w:r>
        <w:rPr>
          <w:sz w:val="28"/>
          <w:szCs w:val="28"/>
        </w:rPr>
        <w:t>эффективности :</w:t>
      </w:r>
      <w:proofErr w:type="gramEnd"/>
      <w:r>
        <w:rPr>
          <w:sz w:val="28"/>
          <w:szCs w:val="28"/>
        </w:rPr>
        <w:t xml:space="preserve"> монография / Н.А. Казакова, Е.А. Федченко, Л.Б. Трофимова.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— 270 с. — (Научная мысль). — www.dx.doi.org/10.12737/741. - ЭБС ZNANIUM.com. - URL: https://znanium.com/catalog/product/1008028 (дата </w:t>
      </w:r>
      <w:proofErr w:type="gramStart"/>
      <w:r>
        <w:rPr>
          <w:sz w:val="28"/>
          <w:szCs w:val="28"/>
        </w:rPr>
        <w:t>обращения:  09.01.2023</w:t>
      </w:r>
      <w:proofErr w:type="gramEnd"/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71D9B" w:rsidRDefault="00971D9B">
      <w:pPr>
        <w:ind w:firstLine="709"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91488495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Сервер органов государственной власти Российской Федерации (http://www.gov.ru).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www.kremlin.ru - официальный сайт Президента Российской Федерации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www.government.ru - официальный сайт Правительства Российской Федерации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www.economy.gov.ru – официальный сайт Министерства экономического развития Российской Федерации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www.mos.ru – Официальный портал Мэра и Правительства Москвы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www.большоеправительство.рф/opengov – Портал «открытое Правительство»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https://cbr.ru/ – сайт центрального банка-Банка России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https://www.nalog.gov.ru/. - Сайт ФНС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www.roskazna.ru - Официальный сайт Федерального казначейства </w:t>
      </w:r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10. Электронная библиотека Финансового университета (ЭБ) </w:t>
      </w:r>
      <w:hyperlink r:id="rId11">
        <w:r>
          <w:rPr>
            <w:sz w:val="28"/>
            <w:szCs w:val="28"/>
          </w:rPr>
          <w:t>http://elib.fa.ru/</w:t>
        </w:r>
      </w:hyperlink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Электронно-библиотечная система BOOK.RU </w:t>
      </w:r>
      <w:hyperlink r:id="rId12">
        <w:r>
          <w:rPr>
            <w:sz w:val="28"/>
            <w:szCs w:val="28"/>
          </w:rPr>
          <w:t>http://www.book.ru</w:t>
        </w:r>
      </w:hyperlink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Электронно-библиотечная система «Университетская библиотека ОНЛАЙН» http://biblioclub.ru/</w:t>
      </w:r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Электронно-библиотечная система </w:t>
      </w:r>
      <w:proofErr w:type="spellStart"/>
      <w:r>
        <w:rPr>
          <w:rStyle w:val="-"/>
          <w:color w:val="auto"/>
          <w:sz w:val="28"/>
          <w:szCs w:val="28"/>
          <w:u w:val="none"/>
        </w:rPr>
        <w:t>Znanium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http://www.znanium.com</w:t>
      </w:r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Образовательная платформа </w:t>
      </w:r>
      <w:proofErr w:type="spellStart"/>
      <w:r>
        <w:rPr>
          <w:rStyle w:val="-"/>
          <w:color w:val="auto"/>
          <w:sz w:val="28"/>
          <w:szCs w:val="28"/>
          <w:u w:val="none"/>
        </w:rPr>
        <w:t>Юрайт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https://urait.ru/</w:t>
      </w:r>
    </w:p>
    <w:p w:rsidR="00971D9B" w:rsidRDefault="0059516C">
      <w:pPr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 Научная электронная библиотека eLibrary.ru http://elibrary.ru  </w:t>
      </w:r>
    </w:p>
    <w:p w:rsidR="00971D9B" w:rsidRDefault="00971D9B">
      <w:pPr>
        <w:rPr>
          <w:b/>
          <w:sz w:val="28"/>
          <w:szCs w:val="28"/>
        </w:rPr>
      </w:pPr>
    </w:p>
    <w:p w:rsidR="00971D9B" w:rsidRDefault="00971D9B">
      <w:pPr>
        <w:rPr>
          <w:b/>
          <w:sz w:val="28"/>
          <w:szCs w:val="28"/>
        </w:rPr>
      </w:pPr>
    </w:p>
    <w:p w:rsidR="00971D9B" w:rsidRDefault="00971D9B">
      <w:pPr>
        <w:rPr>
          <w:b/>
          <w:sz w:val="28"/>
          <w:szCs w:val="28"/>
        </w:rPr>
      </w:pPr>
    </w:p>
    <w:p w:rsidR="00971D9B" w:rsidRDefault="00971D9B">
      <w:pPr>
        <w:rPr>
          <w:b/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91488496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:rsidR="00971D9B" w:rsidRDefault="00971D9B">
      <w:pPr>
        <w:jc w:val="center"/>
        <w:rPr>
          <w:b/>
          <w:sz w:val="28"/>
          <w:szCs w:val="28"/>
        </w:rPr>
      </w:pPr>
    </w:p>
    <w:p w:rsidR="00971D9B" w:rsidRDefault="00595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 </w:t>
      </w:r>
    </w:p>
    <w:p w:rsidR="00971D9B" w:rsidRDefault="00971D9B">
      <w:pPr>
        <w:jc w:val="center"/>
        <w:rPr>
          <w:b/>
          <w:sz w:val="28"/>
          <w:szCs w:val="28"/>
        </w:rPr>
      </w:pP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971D9B" w:rsidRDefault="0059516C">
      <w:pPr>
        <w:pStyle w:val="af4"/>
        <w:widowControl/>
        <w:numPr>
          <w:ilvl w:val="0"/>
          <w:numId w:val="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971D9B" w:rsidRDefault="00971D9B">
      <w:pPr>
        <w:ind w:firstLine="709"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9148849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8"/>
    </w:p>
    <w:p w:rsidR="00971D9B" w:rsidRDefault="0059516C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9" w:name="_Toc531686467"/>
      <w:bookmarkStart w:id="20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:rsidR="00971D9B" w:rsidRPr="00414049" w:rsidRDefault="005951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1" w:name="_Toc531686468"/>
      <w:bookmarkStart w:id="22" w:name="_Toc531614951"/>
      <w:r w:rsidRPr="0041404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1404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1404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14049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</w:p>
    <w:p w:rsidR="00971D9B" w:rsidRPr="00414049" w:rsidRDefault="005951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3" w:name="_Toc531686469"/>
      <w:bookmarkStart w:id="24" w:name="_Toc531614952"/>
      <w:r w:rsidRPr="00414049">
        <w:rPr>
          <w:rFonts w:eastAsia="Calibri"/>
          <w:bCs/>
          <w:kern w:val="2"/>
          <w:sz w:val="28"/>
          <w:szCs w:val="28"/>
        </w:rPr>
        <w:t xml:space="preserve">2. </w:t>
      </w:r>
      <w:bookmarkEnd w:id="23"/>
      <w:bookmarkEnd w:id="24"/>
      <w:r>
        <w:rPr>
          <w:rFonts w:eastAsia="Calibri"/>
          <w:bCs/>
          <w:kern w:val="2"/>
          <w:sz w:val="28"/>
          <w:szCs w:val="28"/>
        </w:rPr>
        <w:t>Антивирус</w:t>
      </w:r>
      <w:r w:rsidRPr="0041404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971D9B" w:rsidRDefault="005951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531686470"/>
      <w:bookmarkStart w:id="26" w:name="_Toc531614953"/>
      <w:r w:rsidRPr="0041404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др.</w:t>
      </w:r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971D9B" w:rsidRDefault="0059516C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9148849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:rsidR="00971D9B" w:rsidRDefault="005951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971D9B" w:rsidRDefault="00971D9B">
      <w:pPr>
        <w:rPr>
          <w:sz w:val="28"/>
          <w:szCs w:val="28"/>
        </w:rPr>
      </w:pPr>
    </w:p>
    <w:sectPr w:rsidR="00971D9B">
      <w:footerReference w:type="default" r:id="rId14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16C" w:rsidRDefault="0059516C">
      <w:r>
        <w:separator/>
      </w:r>
    </w:p>
  </w:endnote>
  <w:endnote w:type="continuationSeparator" w:id="0">
    <w:p w:rsidR="0059516C" w:rsidRDefault="0059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518372"/>
      <w:docPartObj>
        <w:docPartGallery w:val="Page Numbers (Bottom of Page)"/>
        <w:docPartUnique/>
      </w:docPartObj>
    </w:sdtPr>
    <w:sdtEndPr/>
    <w:sdtContent>
      <w:p w:rsidR="00971D9B" w:rsidRDefault="0059516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14049">
          <w:rPr>
            <w:noProof/>
          </w:rPr>
          <w:t>6</w:t>
        </w:r>
        <w:r>
          <w:fldChar w:fldCharType="end"/>
        </w:r>
      </w:p>
    </w:sdtContent>
  </w:sdt>
  <w:p w:rsidR="00971D9B" w:rsidRDefault="00971D9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16C" w:rsidRDefault="0059516C">
      <w:r>
        <w:separator/>
      </w:r>
    </w:p>
  </w:footnote>
  <w:footnote w:type="continuationSeparator" w:id="0">
    <w:p w:rsidR="0059516C" w:rsidRDefault="0059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1556C"/>
    <w:multiLevelType w:val="multilevel"/>
    <w:tmpl w:val="D47E6A6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71692D"/>
    <w:multiLevelType w:val="multilevel"/>
    <w:tmpl w:val="64E2AF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72575B"/>
    <w:multiLevelType w:val="multilevel"/>
    <w:tmpl w:val="E91A18C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5A5F257B"/>
    <w:multiLevelType w:val="multilevel"/>
    <w:tmpl w:val="3424B0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53F41D6"/>
    <w:multiLevelType w:val="multilevel"/>
    <w:tmpl w:val="F6BE5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B2873DA"/>
    <w:multiLevelType w:val="multilevel"/>
    <w:tmpl w:val="8520950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9B"/>
    <w:rsid w:val="00414049"/>
    <w:rsid w:val="0059516C"/>
    <w:rsid w:val="00971D9B"/>
    <w:rsid w:val="00B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DEE2"/>
  <w15:docId w15:val="{BDCC7B77-3DA0-4A4A-86A6-F082ECA1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7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Абзац списка Знак"/>
    <w:link w:val="af4"/>
    <w:uiPriority w:val="34"/>
    <w:qFormat/>
    <w:rsid w:val="009F5E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F37A7F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96919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0D37B9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6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7">
    <w:name w:val="List"/>
    <w:basedOn w:val="af"/>
    <w:rPr>
      <w:rFonts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9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c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7156C-45CD-45B3-AB5B-614057B3B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20701D-0B42-42F3-951B-354E7D3A00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25BD1-23FD-4316-9433-CE5ECE807E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D7F160-EFF8-40BE-B1D2-77877DEE8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19</Pages>
  <Words>5670</Words>
  <Characters>32323</Characters>
  <Application>Microsoft Office Word</Application>
  <DocSecurity>0</DocSecurity>
  <Lines>269</Lines>
  <Paragraphs>75</Paragraphs>
  <ScaleCrop>false</ScaleCrop>
  <Company/>
  <LinksUpToDate>false</LinksUpToDate>
  <CharactersWithSpaces>37918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16</cp:revision>
  <cp:lastPrinted>2023-03-03T10:59:00Z</cp:lastPrinted>
  <dcterms:created xsi:type="dcterms:W3CDTF">2023-01-09T06:29:00Z</dcterms:created>
  <dcterms:modified xsi:type="dcterms:W3CDTF">2023-09-13T13:52:00Z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